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3607"/>
        <w:gridCol w:w="2308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28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44"/>
                <w:szCs w:val="44"/>
                <w:lang w:eastAsia="zh-CN"/>
              </w:rPr>
              <w:t>招标代理机构检查汇总表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代理公司名称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检查存在问题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河南嘉泰工程管理有限公司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无问题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河南金轮工程管理咨询有限公司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eastAsia="zh-CN"/>
              </w:rPr>
              <w:t>从业人员业务水平有待提高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河南省盛鸿工程管理咨询有限公司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无问题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河南盛泓宇工程咨询有限公司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档案管理不规范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DY2MTAxOTY4YjNhNWE3ZTRlMGY1ZWE5MzRkMTEifQ=="/>
  </w:docVars>
  <w:rsids>
    <w:rsidRoot w:val="4EF868EF"/>
    <w:rsid w:val="4EF8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2023-07-21T07:22:00Z</dcterms:created>
  <dc:creator>son</dc:creator>
  <cp:lastModifiedBy>son</cp:lastModifiedBy>
  <dcterms:modified xsi:type="dcterms:W3CDTF">2023-07-21T07:22:34Z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300C1DD8CDE540A4B964820C524ED31E_11</vt:lpwstr>
  </property>
</Properties>
</file>